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ED4571">
        <w:rPr>
          <w:rFonts w:ascii="Arial" w:hAnsi="Arial" w:cs="Arial"/>
          <w:b/>
        </w:rPr>
        <w:t>7</w:t>
      </w:r>
      <w:r w:rsidR="00704019">
        <w:rPr>
          <w:rFonts w:ascii="Arial" w:hAnsi="Arial" w:cs="Arial"/>
          <w:b/>
        </w:rPr>
        <w:t>/19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ED4571">
        <w:rPr>
          <w:rFonts w:ascii="Arial" w:hAnsi="Arial" w:cs="Arial"/>
          <w:sz w:val="20"/>
          <w:szCs w:val="20"/>
        </w:rPr>
        <w:t xml:space="preserve"> OP,CD</w:t>
      </w:r>
    </w:p>
    <w:p w:rsidR="002562DB" w:rsidRPr="00C76B1C" w:rsidRDefault="00031DDB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</w:t>
      </w:r>
      <w:r w:rsidR="00ED4571">
        <w:rPr>
          <w:rFonts w:ascii="Arial" w:hAnsi="Arial" w:cs="Arial"/>
          <w:sz w:val="20"/>
          <w:szCs w:val="20"/>
        </w:rPr>
        <w:t xml:space="preserve">správních činností a živn. úřadu </w:t>
      </w:r>
      <w:r w:rsidR="00B74C13">
        <w:rPr>
          <w:rFonts w:ascii="Arial" w:hAnsi="Arial" w:cs="Arial"/>
          <w:sz w:val="20"/>
          <w:szCs w:val="20"/>
        </w:rPr>
        <w:t xml:space="preserve">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</w:t>
      </w:r>
      <w:r w:rsidR="00ED4571">
        <w:rPr>
          <w:rFonts w:ascii="Arial" w:hAnsi="Arial" w:cs="Arial"/>
          <w:sz w:val="20"/>
          <w:szCs w:val="20"/>
        </w:rPr>
        <w:t>od 01.01.2020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3F5045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74C13"/>
    <w:rsid w:val="00B854A4"/>
    <w:rsid w:val="00BB4D63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D4571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2019-11-13T12:14:00Z</dcterms:created>
  <dcterms:modified xsi:type="dcterms:W3CDTF">2019-11-13T12:14:00Z</dcterms:modified>
</cp:coreProperties>
</file>