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FC7787">
        <w:rPr>
          <w:rFonts w:ascii="Arial" w:hAnsi="Arial" w:cs="Arial"/>
          <w:b/>
        </w:rPr>
        <w:t>9</w:t>
      </w:r>
      <w:r w:rsidR="00B030C7">
        <w:rPr>
          <w:rFonts w:ascii="Arial" w:hAnsi="Arial" w:cs="Arial"/>
          <w:b/>
        </w:rPr>
        <w:t>/18</w:t>
      </w:r>
    </w:p>
    <w:p w:rsidR="001F7DC2" w:rsidRDefault="002562DB" w:rsidP="001F7DC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>na obsazení 1 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FC7787">
        <w:rPr>
          <w:rFonts w:ascii="Arial" w:hAnsi="Arial" w:cs="Arial"/>
          <w:sz w:val="20"/>
          <w:szCs w:val="20"/>
        </w:rPr>
        <w:t>referenta na Oddělení speciálních činností</w:t>
      </w:r>
      <w:r w:rsidR="001F7DC2"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 xml:space="preserve"> </w:t>
      </w:r>
    </w:p>
    <w:p w:rsidR="002562DB" w:rsidRPr="00C76B1C" w:rsidRDefault="00FC7787" w:rsidP="001F7DC2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výstavby a životního prostředí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</w:t>
      </w:r>
      <w:r w:rsidRPr="001F7DC2">
        <w:rPr>
          <w:rFonts w:ascii="Arial" w:hAnsi="Arial" w:cs="Arial"/>
          <w:sz w:val="20"/>
          <w:szCs w:val="20"/>
        </w:rPr>
        <w:lastRenderedPageBreak/>
        <w:t xml:space="preserve">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E7ED9"/>
    <w:rsid w:val="001F5EBB"/>
    <w:rsid w:val="001F7DC2"/>
    <w:rsid w:val="002223B9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01E2B"/>
    <w:rsid w:val="00822249"/>
    <w:rsid w:val="00832224"/>
    <w:rsid w:val="00844487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2018-07-02T13:29:00Z</dcterms:created>
  <dcterms:modified xsi:type="dcterms:W3CDTF">2018-07-02T13:29:00Z</dcterms:modified>
</cp:coreProperties>
</file>